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D50D41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9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6363FA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października</w:t>
      </w:r>
      <w:r w:rsidR="00CC77ED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6B7A8C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propagowaniem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AA6B0A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AA6B0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Pr="008667F8" w:rsidRDefault="00310479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8667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EE7790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EE779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akcjach ratowniczych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4C30D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gm. Mysłakowice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Pr="006363FA" w:rsidRDefault="006363FA" w:rsidP="006363FA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Promocja ekologicznych środków transportu i postaw ekologicznych,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Pr="003B29E4" w:rsidRDefault="003268CF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Pr="003268C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20.09.2019r.</w:t>
            </w: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B29E4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6363F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F74924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6363FA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Pr="006363FA" w:rsidRDefault="006363FA" w:rsidP="006363FA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6363FA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6363FA" w:rsidP="00975846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  <w:p w:rsidR="00975846" w:rsidRDefault="00975846" w:rsidP="00F74924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F74924" w:rsidRDefault="00F74924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975846" w:rsidRDefault="00975846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F74924" w:rsidRDefault="00F74924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6363FA" w:rsidRPr="006363FA" w:rsidRDefault="006363FA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Default="00F74924" w:rsidP="00F7492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Pr="003E28E8" w:rsidRDefault="00F74924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Default="00F74924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Pr="003E28E8" w:rsidRDefault="00F74924" w:rsidP="00F74924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F74924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D06513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     sztuki, nauki, edukacji, oświaty  i wychowania.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B21B5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3B29E4" w:rsidRPr="0022442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3B29E4" w:rsidRPr="0022442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sztuki, ochrony dóbr kultury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22442F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22442F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AA6B0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A6B0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A6B0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A6B0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3B29E4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3B29E4" w:rsidRPr="003E28E8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232632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FD484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FD4841" w:rsidRDefault="00FD4841" w:rsidP="00FD4841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Pr="002F26BC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830FC7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232632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58-500 Jelenia Góra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3B29E4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DC131B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Pr="00162B28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9758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 r.- Uchwała WZC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rozwiązaniu Klubu Sportowego Lechia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Piechowicach, </w:t>
            </w:r>
          </w:p>
          <w:p w:rsidR="003B29E4" w:rsidRPr="00EE6199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data 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z Rejestru Przedsiębiorców: 16.01.2013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C71015">
        <w:rPr>
          <w:b/>
        </w:rPr>
        <w:t>9</w:t>
      </w:r>
      <w:bookmarkStart w:id="0" w:name="_GoBack"/>
      <w:bookmarkEnd w:id="0"/>
      <w:r w:rsidR="0049766A">
        <w:rPr>
          <w:b/>
        </w:rPr>
        <w:t xml:space="preserve"> października</w:t>
      </w:r>
      <w:r w:rsidR="00CC77ED">
        <w:rPr>
          <w:b/>
        </w:rPr>
        <w:t xml:space="preserve"> </w:t>
      </w:r>
      <w:r w:rsidRPr="00830FC7">
        <w:rPr>
          <w:b/>
        </w:rPr>
        <w:t>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B0A" w:rsidRDefault="00AA6B0A" w:rsidP="003E28E8">
      <w:pPr>
        <w:spacing w:after="0" w:line="240" w:lineRule="auto"/>
      </w:pPr>
      <w:r>
        <w:separator/>
      </w:r>
    </w:p>
  </w:endnote>
  <w:endnote w:type="continuationSeparator" w:id="0">
    <w:p w:rsidR="00AA6B0A" w:rsidRDefault="00AA6B0A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B0A" w:rsidRDefault="00AA6B0A" w:rsidP="003E28E8">
      <w:pPr>
        <w:spacing w:after="0" w:line="240" w:lineRule="auto"/>
      </w:pPr>
      <w:r>
        <w:separator/>
      </w:r>
    </w:p>
  </w:footnote>
  <w:footnote w:type="continuationSeparator" w:id="0">
    <w:p w:rsidR="00AA6B0A" w:rsidRDefault="00AA6B0A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6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6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19"/>
  </w:num>
  <w:num w:numId="14">
    <w:abstractNumId w:val="33"/>
  </w:num>
  <w:num w:numId="15">
    <w:abstractNumId w:val="7"/>
  </w:num>
  <w:num w:numId="16">
    <w:abstractNumId w:val="9"/>
  </w:num>
  <w:num w:numId="17">
    <w:abstractNumId w:val="21"/>
  </w:num>
  <w:num w:numId="18">
    <w:abstractNumId w:val="32"/>
  </w:num>
  <w:num w:numId="19">
    <w:abstractNumId w:val="5"/>
  </w:num>
  <w:num w:numId="20">
    <w:abstractNumId w:val="17"/>
  </w:num>
  <w:num w:numId="21">
    <w:abstractNumId w:val="30"/>
  </w:num>
  <w:num w:numId="22">
    <w:abstractNumId w:val="24"/>
  </w:num>
  <w:num w:numId="23">
    <w:abstractNumId w:val="4"/>
  </w:num>
  <w:num w:numId="24">
    <w:abstractNumId w:val="36"/>
  </w:num>
  <w:num w:numId="25">
    <w:abstractNumId w:val="0"/>
  </w:num>
  <w:num w:numId="26">
    <w:abstractNumId w:val="8"/>
  </w:num>
  <w:num w:numId="27">
    <w:abstractNumId w:val="31"/>
  </w:num>
  <w:num w:numId="28">
    <w:abstractNumId w:val="2"/>
  </w:num>
  <w:num w:numId="29">
    <w:abstractNumId w:val="16"/>
  </w:num>
  <w:num w:numId="30">
    <w:abstractNumId w:val="23"/>
  </w:num>
  <w:num w:numId="31">
    <w:abstractNumId w:val="35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10479"/>
    <w:rsid w:val="0032155A"/>
    <w:rsid w:val="003268CF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29E4"/>
    <w:rsid w:val="003B525A"/>
    <w:rsid w:val="003C4653"/>
    <w:rsid w:val="003D0C7F"/>
    <w:rsid w:val="003D0F48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66A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63FA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75846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6B0A"/>
    <w:rsid w:val="00AA78FA"/>
    <w:rsid w:val="00AB575D"/>
    <w:rsid w:val="00AB5FA3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1015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0D41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475E"/>
    <w:rsid w:val="00D85CD5"/>
    <w:rsid w:val="00D92209"/>
    <w:rsid w:val="00D94273"/>
    <w:rsid w:val="00DA1DEA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751E"/>
    <w:rsid w:val="00E50AB6"/>
    <w:rsid w:val="00E63176"/>
    <w:rsid w:val="00E67239"/>
    <w:rsid w:val="00E73B8D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60E0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5519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DFCA-0DB5-4A11-9F01-9696FD3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106</Pages>
  <Words>31133</Words>
  <Characters>186803</Characters>
  <Application>Microsoft Office Word</Application>
  <DocSecurity>0</DocSecurity>
  <Lines>1556</Lines>
  <Paragraphs>435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4</cp:revision>
  <dcterms:created xsi:type="dcterms:W3CDTF">2019-10-09T13:29:00Z</dcterms:created>
  <dcterms:modified xsi:type="dcterms:W3CDTF">2019-10-09T13:30:00Z</dcterms:modified>
</cp:coreProperties>
</file>