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667F8">
        <w:rPr>
          <w:rFonts w:ascii="Liberation Serif" w:hAnsi="Liberation Serif" w:cs="Liberation Serif"/>
          <w:b/>
          <w:sz w:val="24"/>
          <w:szCs w:val="24"/>
        </w:rPr>
        <w:t>07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6667F8">
        <w:rPr>
          <w:rFonts w:ascii="Liberation Serif" w:hAnsi="Liberation Serif" w:cs="Liberation Serif"/>
          <w:b/>
          <w:sz w:val="24"/>
          <w:szCs w:val="24"/>
        </w:rPr>
        <w:t>07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„Ultrakotlina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„Festival dell”Arte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„Ultrakotlina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„Festival dell'Arte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projektu umowy Powiatu Karkonoskiego z Gminami Powiatu dotyczącej wspólnej realizacji zadania polegającego na dofinansowaniu zakupu samochodu ratowniczo gaśniczego z przeznaczeniem dla Komendy Miejskiej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>w góry. Gra miejska” z pominięciem otwartego konkursu ofert w trybie art.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akceptacji projektu aneksu do umowy z Przedsiębiorstwem PKS „Tour"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art.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umowy ze Skarbem Państwa -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 udzielenie dotacji celowej na realizację zadania pn. „Utworzenie wirtualnej strzelnicy w Powiecie Karkonoskim"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2021"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AD" w:rsidRDefault="000B4CAD" w:rsidP="00096F2B">
      <w:r>
        <w:separator/>
      </w:r>
    </w:p>
  </w:endnote>
  <w:endnote w:type="continuationSeparator" w:id="0">
    <w:p w:rsidR="000B4CAD" w:rsidRDefault="000B4CA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AD" w:rsidRDefault="000B4CAD" w:rsidP="00096F2B">
      <w:r>
        <w:separator/>
      </w:r>
    </w:p>
  </w:footnote>
  <w:footnote w:type="continuationSeparator" w:id="0">
    <w:p w:rsidR="000B4CAD" w:rsidRDefault="000B4CA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CAD" w:rsidRDefault="000B4CA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667F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0B4CAD" w:rsidRDefault="000B4CA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667F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AD" w:rsidRDefault="000B4C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0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8"/>
  </w:num>
  <w:num w:numId="15">
    <w:abstractNumId w:val="19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75</Pages>
  <Words>20508</Words>
  <Characters>123053</Characters>
  <Application>Microsoft Office Word</Application>
  <DocSecurity>0</DocSecurity>
  <Lines>1025</Lines>
  <Paragraphs>286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326</cp:revision>
  <cp:lastPrinted>2003-07-28T15:07:00Z</cp:lastPrinted>
  <dcterms:created xsi:type="dcterms:W3CDTF">2018-11-23T11:10:00Z</dcterms:created>
  <dcterms:modified xsi:type="dcterms:W3CDTF">2021-07-07T11:46:00Z</dcterms:modified>
  <dc:language>pl-PL</dc:language>
</cp:coreProperties>
</file>