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9FE" w:rsidRPr="005B5313" w:rsidRDefault="006D6ECB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Załącznik </w:t>
      </w:r>
      <w:r w:rsidR="005B5313" w:rsidRPr="005B5313">
        <w:rPr>
          <w:rFonts w:ascii="Liberation Serif" w:hAnsi="Liberation Serif" w:cs="Liberation Serif"/>
          <w:sz w:val="24"/>
          <w:szCs w:val="24"/>
        </w:rPr>
        <w:t>nr 2 do</w:t>
      </w:r>
    </w:p>
    <w:p w:rsidR="006D6ECB" w:rsidRPr="005B5313" w:rsidRDefault="0053521C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Uchwały Nr 123/362/16</w:t>
      </w:r>
    </w:p>
    <w:p w:rsidR="005B5313" w:rsidRPr="005B5313" w:rsidRDefault="005B5313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Zarządu Powiatu Jeleniogórskiego</w:t>
      </w:r>
    </w:p>
    <w:p w:rsidR="006D6ECB" w:rsidRPr="005B5313" w:rsidRDefault="0053521C" w:rsidP="0053521C">
      <w:pPr>
        <w:spacing w:after="0" w:line="240" w:lineRule="auto"/>
        <w:ind w:left="5670" w:firstLine="567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z dnia 29 grudnia </w:t>
      </w:r>
      <w:r w:rsidR="006D6ECB" w:rsidRPr="005B5313">
        <w:rPr>
          <w:rFonts w:ascii="Liberation Serif" w:hAnsi="Liberation Serif" w:cs="Liberation Serif"/>
          <w:sz w:val="24"/>
          <w:szCs w:val="24"/>
        </w:rPr>
        <w:t>2016 r.</w:t>
      </w:r>
    </w:p>
    <w:p w:rsidR="006D6ECB" w:rsidRPr="005B5313" w:rsidRDefault="006D6ECB" w:rsidP="0053521C">
      <w:pPr>
        <w:ind w:firstLine="567"/>
        <w:rPr>
          <w:rFonts w:ascii="Liberation Serif" w:hAnsi="Liberation Serif" w:cs="Liberation Serif"/>
          <w:sz w:val="24"/>
          <w:szCs w:val="24"/>
        </w:rPr>
      </w:pPr>
    </w:p>
    <w:p w:rsidR="006D6ECB" w:rsidRPr="005B5313" w:rsidRDefault="006D6ECB" w:rsidP="006D6ECB">
      <w:pPr>
        <w:tabs>
          <w:tab w:val="left" w:pos="217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REGULAMIN SPRZEDAŻY</w:t>
      </w:r>
    </w:p>
    <w:p w:rsidR="006D6ECB" w:rsidRDefault="005B5313" w:rsidP="00C94966">
      <w:pPr>
        <w:tabs>
          <w:tab w:val="left" w:pos="2175"/>
        </w:tabs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pojazdów</w:t>
      </w:r>
      <w:r w:rsidR="006D6ECB" w:rsidRPr="005B531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805BF4">
        <w:rPr>
          <w:rFonts w:ascii="Liberation Serif" w:hAnsi="Liberation Serif" w:cs="Liberation Serif"/>
          <w:b/>
          <w:sz w:val="24"/>
          <w:szCs w:val="24"/>
        </w:rPr>
        <w:t xml:space="preserve">przejętych na własność Powiatu Jeleniogórskiego </w:t>
      </w:r>
      <w:r w:rsidRPr="00805BF4">
        <w:rPr>
          <w:rFonts w:ascii="Liberation Serif" w:hAnsi="Liberation Serif" w:cs="Liberation Serif"/>
          <w:b/>
          <w:bCs/>
          <w:sz w:val="24"/>
          <w:szCs w:val="24"/>
        </w:rPr>
        <w:t>na podstawie art. 130a ust. 10 ustawy Prawo o ruchu drogowym</w:t>
      </w:r>
    </w:p>
    <w:p w:rsidR="005B5313" w:rsidRPr="005B5313" w:rsidRDefault="005B5313" w:rsidP="00C94966">
      <w:pPr>
        <w:tabs>
          <w:tab w:val="left" w:pos="2175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F4560" w:rsidRPr="005B5313" w:rsidRDefault="000F4560" w:rsidP="00861BBD">
      <w:pPr>
        <w:pStyle w:val="Akapitzlist"/>
        <w:numPr>
          <w:ilvl w:val="0"/>
          <w:numId w:val="2"/>
        </w:numPr>
        <w:spacing w:after="120" w:line="240" w:lineRule="auto"/>
        <w:ind w:left="1077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Tryb postępowania :</w:t>
      </w:r>
    </w:p>
    <w:p w:rsidR="000F4560" w:rsidRPr="005B5313" w:rsidRDefault="000F4560" w:rsidP="00861BBD">
      <w:pPr>
        <w:pStyle w:val="Akapitzlist"/>
        <w:spacing w:after="120" w:line="240" w:lineRule="auto"/>
        <w:ind w:left="1077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Postępowanie jest prowadzone w trybie licytacji ustnej i jest jawne.</w:t>
      </w:r>
    </w:p>
    <w:p w:rsidR="000F4560" w:rsidRPr="005B5313" w:rsidRDefault="00C94966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Cel postępowania :</w:t>
      </w:r>
    </w:p>
    <w:p w:rsidR="00C94966" w:rsidRPr="005B5313" w:rsidRDefault="00C94966" w:rsidP="00861BBD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Wyłonienie kupującego pojazd będący przedmiotem licytacji.</w:t>
      </w:r>
    </w:p>
    <w:p w:rsidR="00C94966" w:rsidRPr="005B5313" w:rsidRDefault="00C94966" w:rsidP="00861BBD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Uzyskanie najwyższej ceny pojazdu.</w:t>
      </w:r>
    </w:p>
    <w:p w:rsidR="007D4694" w:rsidRPr="005B5313" w:rsidRDefault="007D4694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Organizator :</w:t>
      </w:r>
    </w:p>
    <w:p w:rsidR="007D4694" w:rsidRPr="005B5313" w:rsidRDefault="007D4694" w:rsidP="00861BBD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Organizatorem licytacji ustnej jest Starosta Jeleniogórski.</w:t>
      </w:r>
    </w:p>
    <w:p w:rsidR="005B5313" w:rsidRDefault="007D4694" w:rsidP="005B531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 posiada tytuł</w:t>
      </w:r>
      <w:r w:rsidR="005B5313">
        <w:rPr>
          <w:rFonts w:ascii="Liberation Serif" w:hAnsi="Liberation Serif" w:cs="Liberation Serif"/>
          <w:sz w:val="24"/>
          <w:szCs w:val="24"/>
        </w:rPr>
        <w:t xml:space="preserve"> prawny do przedmiotu licytacji.</w:t>
      </w:r>
    </w:p>
    <w:p w:rsidR="007D4694" w:rsidRPr="005B5313" w:rsidRDefault="007D4694" w:rsidP="005B5313">
      <w:pPr>
        <w:pStyle w:val="Akapitzlist"/>
        <w:numPr>
          <w:ilvl w:val="0"/>
          <w:numId w:val="4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imie</w:t>
      </w:r>
      <w:r w:rsidR="00181F71" w:rsidRPr="005B5313">
        <w:rPr>
          <w:rFonts w:ascii="Liberation Serif" w:hAnsi="Liberation Serif" w:cs="Liberation Serif"/>
          <w:sz w:val="24"/>
          <w:szCs w:val="24"/>
        </w:rPr>
        <w:t xml:space="preserve">niu organizatora działa </w:t>
      </w:r>
      <w:r w:rsidRPr="005B5313">
        <w:rPr>
          <w:rFonts w:ascii="Liberation Serif" w:hAnsi="Liberation Serif" w:cs="Liberation Serif"/>
          <w:sz w:val="24"/>
          <w:szCs w:val="24"/>
        </w:rPr>
        <w:t>komisja licytacyjna</w:t>
      </w:r>
      <w:r w:rsidR="00A73AE6" w:rsidRPr="005B5313">
        <w:rPr>
          <w:rFonts w:ascii="Liberation Serif" w:hAnsi="Liberation Serif" w:cs="Liberation Serif"/>
          <w:sz w:val="24"/>
          <w:szCs w:val="24"/>
        </w:rPr>
        <w:t>, którą stanowi Komi</w:t>
      </w:r>
      <w:r w:rsidR="0086735C" w:rsidRPr="005B5313">
        <w:rPr>
          <w:rFonts w:ascii="Liberation Serif" w:hAnsi="Liberation Serif" w:cs="Liberation Serif"/>
          <w:sz w:val="24"/>
          <w:szCs w:val="24"/>
        </w:rPr>
        <w:t xml:space="preserve">sja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ds. kwalifikacji i sprzedaży pojazdów przejętych na własność Powiatu Jeleniogórskiego 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3E3BDE" w:rsidRPr="005B5313">
        <w:rPr>
          <w:rFonts w:ascii="Liberation Serif" w:hAnsi="Liberation Serif" w:cs="Liberation Serif"/>
          <w:bCs/>
          <w:sz w:val="24"/>
          <w:szCs w:val="24"/>
        </w:rPr>
        <w:t>,</w:t>
      </w:r>
      <w:r w:rsidR="003E3BDE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A73AE6" w:rsidRPr="005B5313">
        <w:rPr>
          <w:rFonts w:ascii="Liberation Serif" w:hAnsi="Liberation Serif" w:cs="Liberation Serif"/>
          <w:sz w:val="24"/>
          <w:szCs w:val="24"/>
        </w:rPr>
        <w:t xml:space="preserve">powołana </w:t>
      </w:r>
      <w:r w:rsidR="006B1E12" w:rsidRPr="005B5313">
        <w:rPr>
          <w:rFonts w:ascii="Liberation Serif" w:hAnsi="Liberation Serif" w:cs="Liberation Serif"/>
          <w:sz w:val="24"/>
          <w:szCs w:val="24"/>
        </w:rPr>
        <w:t xml:space="preserve">uchwałą </w:t>
      </w:r>
      <w:r w:rsidR="0053521C">
        <w:rPr>
          <w:rFonts w:ascii="Liberation Serif" w:hAnsi="Liberation Serif" w:cs="Liberation Serif"/>
          <w:sz w:val="24"/>
          <w:szCs w:val="24"/>
        </w:rPr>
        <w:t>Nr 123/362/16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3E3BDE" w:rsidRPr="005B5313">
        <w:rPr>
          <w:rFonts w:ascii="Liberation Serif" w:hAnsi="Liberation Serif" w:cs="Liberation Serif"/>
          <w:sz w:val="24"/>
          <w:szCs w:val="24"/>
        </w:rPr>
        <w:t>Zarządu Powiatu Jeleniogórski</w:t>
      </w:r>
      <w:r w:rsidR="0053521C">
        <w:rPr>
          <w:rFonts w:ascii="Liberation Serif" w:hAnsi="Liberation Serif" w:cs="Liberation Serif"/>
          <w:sz w:val="24"/>
          <w:szCs w:val="24"/>
        </w:rPr>
        <w:t>ego z dnia 29 grudnia 2016 r.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53521C">
        <w:rPr>
          <w:rFonts w:ascii="Liberation Serif" w:hAnsi="Liberation Serif" w:cs="Liberation Serif"/>
          <w:bCs/>
          <w:sz w:val="24"/>
          <w:szCs w:val="24"/>
        </w:rPr>
        <w:t>w 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 xml:space="preserve">sprawie trybu postępowania z pojazdami przejmowanymi na własność Powiatu Jeleniogórskiego na podstawie art. 130a ust. 10 ustawy Prawo o ruchu drogowym oraz powołania Komisji ds. kwalifikacji i sprzedaży pojazdów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przejętych na własność Powiatu Jeleniogórskiego </w:t>
      </w:r>
      <w:r w:rsidR="005B5313" w:rsidRPr="005B5313">
        <w:rPr>
          <w:rFonts w:ascii="Liberation Serif" w:hAnsi="Liberation Serif" w:cs="Liberation Serif"/>
          <w:bCs/>
          <w:sz w:val="24"/>
          <w:szCs w:val="24"/>
        </w:rPr>
        <w:t>na podstawie art. 130a ust. 10 ustawy Prawo o ruchu drogowym</w:t>
      </w:r>
      <w:r w:rsidR="005B5313">
        <w:rPr>
          <w:rFonts w:ascii="Liberation Serif" w:hAnsi="Liberation Serif" w:cs="Liberation Serif"/>
          <w:sz w:val="24"/>
          <w:szCs w:val="24"/>
        </w:rPr>
        <w:t>.</w:t>
      </w:r>
    </w:p>
    <w:p w:rsidR="007D4694" w:rsidRPr="005B5313" w:rsidRDefault="005B5313" w:rsidP="00861BBD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Przedmiot licytacji</w:t>
      </w:r>
      <w:r w:rsidR="007D4694" w:rsidRPr="005B5313">
        <w:rPr>
          <w:rFonts w:ascii="Liberation Serif" w:hAnsi="Liberation Serif" w:cs="Liberation Serif"/>
          <w:b/>
          <w:sz w:val="24"/>
          <w:szCs w:val="24"/>
        </w:rPr>
        <w:t xml:space="preserve">: </w:t>
      </w:r>
    </w:p>
    <w:p w:rsidR="007D4694" w:rsidRPr="005B5313" w:rsidRDefault="007D4694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Przedmiotem licytacji </w:t>
      </w:r>
      <w:r w:rsidR="005B5313">
        <w:rPr>
          <w:rFonts w:ascii="Liberation Serif" w:hAnsi="Liberation Serif" w:cs="Liberation Serif"/>
          <w:sz w:val="24"/>
          <w:szCs w:val="24"/>
        </w:rPr>
        <w:t>jest pojazd, wobec którego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sąd orzekł przepadek na rzecz </w:t>
      </w:r>
      <w:r w:rsidR="005B5313">
        <w:rPr>
          <w:rFonts w:ascii="Liberation Serif" w:hAnsi="Liberation Serif" w:cs="Liberation Serif"/>
          <w:sz w:val="24"/>
          <w:szCs w:val="24"/>
        </w:rPr>
        <w:t>Powiatu Jeleniogórskiego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, na podstawie </w:t>
      </w:r>
      <w:r w:rsidR="005B5313" w:rsidRPr="005B5313">
        <w:rPr>
          <w:rFonts w:ascii="Liberation Serif" w:hAnsi="Liberation Serif" w:cs="Liberation Serif"/>
          <w:sz w:val="24"/>
          <w:szCs w:val="24"/>
        </w:rPr>
        <w:t xml:space="preserve">art. 130a </w:t>
      </w:r>
      <w:r w:rsidRPr="005B5313">
        <w:rPr>
          <w:rFonts w:ascii="Liberation Serif" w:hAnsi="Liberation Serif" w:cs="Liberation Serif"/>
          <w:sz w:val="24"/>
          <w:szCs w:val="24"/>
        </w:rPr>
        <w:t>ustawy Prawo o ruchu drogowym.</w:t>
      </w:r>
    </w:p>
    <w:p w:rsidR="007D4694" w:rsidRPr="005B5313" w:rsidRDefault="005B5313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Prawo</w:t>
      </w:r>
      <w:r w:rsidR="007D4694" w:rsidRPr="005B5313">
        <w:rPr>
          <w:rFonts w:ascii="Liberation Serif" w:hAnsi="Liberation Serif" w:cs="Liberation Serif"/>
          <w:sz w:val="24"/>
          <w:szCs w:val="24"/>
        </w:rPr>
        <w:t xml:space="preserve"> własności pojazdu</w:t>
      </w:r>
      <w:r>
        <w:rPr>
          <w:rFonts w:ascii="Liberation Serif" w:hAnsi="Liberation Serif" w:cs="Liberation Serif"/>
          <w:sz w:val="24"/>
          <w:szCs w:val="24"/>
        </w:rPr>
        <w:t xml:space="preserve"> będącego przedmiotem licytacji nabywa osoba, która z zachowaniem przepisów o przeprowadzaniu licytacji zaoferowała najwyższą cenę, uzyskała przybicie i zapłaciła całą cenę w terminie. </w:t>
      </w:r>
    </w:p>
    <w:p w:rsidR="007D4694" w:rsidRPr="005B5313" w:rsidRDefault="007D4694" w:rsidP="00861BBD">
      <w:pPr>
        <w:pStyle w:val="Akapitzlist"/>
        <w:numPr>
          <w:ilvl w:val="0"/>
          <w:numId w:val="5"/>
        </w:num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Cena wywołania </w:t>
      </w:r>
      <w:r w:rsidR="005B5313">
        <w:rPr>
          <w:rFonts w:ascii="Liberation Serif" w:hAnsi="Liberation Serif" w:cs="Liberation Serif"/>
          <w:sz w:val="24"/>
          <w:szCs w:val="24"/>
        </w:rPr>
        <w:t xml:space="preserve">wynosi </w:t>
      </w:r>
      <w:r w:rsidR="00636C6C" w:rsidRPr="005B5313">
        <w:rPr>
          <w:rFonts w:ascii="Liberation Serif" w:hAnsi="Liberation Serif" w:cs="Liberation Serif"/>
          <w:sz w:val="24"/>
          <w:szCs w:val="24"/>
        </w:rPr>
        <w:t>¾ kwoty oszacowania pojazdu.</w:t>
      </w:r>
    </w:p>
    <w:p w:rsidR="00636C6C" w:rsidRPr="005B5313" w:rsidRDefault="00636C6C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Uczestnicy licytacji :</w:t>
      </w:r>
    </w:p>
    <w:p w:rsidR="00636C6C" w:rsidRPr="005B5313" w:rsidRDefault="00636C6C" w:rsidP="00861BBD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licytacji mogą brać udział osoby fizyczne, osoby prawne i jednostki organizacyjne nie posiadające osobowości prawnej.</w:t>
      </w:r>
    </w:p>
    <w:p w:rsidR="00636C6C" w:rsidRPr="005B5313" w:rsidRDefault="00636C6C" w:rsidP="00861BBD">
      <w:pPr>
        <w:pStyle w:val="Akapitzlist"/>
        <w:numPr>
          <w:ilvl w:val="0"/>
          <w:numId w:val="6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Oświadczenia woli w imieniu uczestnika może składać wyłącznie uczestnik lub osoba umocowana, która przedłoży stosowne pełnomocnictwo.</w:t>
      </w:r>
    </w:p>
    <w:p w:rsidR="004C0FFA" w:rsidRPr="005B5313" w:rsidRDefault="00181F71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Warunki udziału w</w:t>
      </w:r>
      <w:r w:rsidR="004C0FFA" w:rsidRPr="005B5313">
        <w:rPr>
          <w:rFonts w:ascii="Liberation Serif" w:hAnsi="Liberation Serif" w:cs="Liberation Serif"/>
          <w:b/>
          <w:sz w:val="24"/>
          <w:szCs w:val="24"/>
        </w:rPr>
        <w:t xml:space="preserve"> licytacji :</w:t>
      </w:r>
    </w:p>
    <w:p w:rsidR="004C0FFA" w:rsidRPr="005B5313" w:rsidRDefault="004C0FFA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przystąpieniem do licytacji uczestnik musi zapoznać się z regulaminem licytacji</w:t>
      </w:r>
      <w:r w:rsidR="00A73AE6" w:rsidRPr="005B5313">
        <w:rPr>
          <w:rFonts w:ascii="Liberation Serif" w:hAnsi="Liberation Serif" w:cs="Liberation Serif"/>
          <w:sz w:val="24"/>
          <w:szCs w:val="24"/>
        </w:rPr>
        <w:t>, który stanowi niniejszy „Regulamin sprzedaży”</w:t>
      </w:r>
      <w:r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147FF6" w:rsidRPr="005B5313" w:rsidRDefault="004C0FFA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rozpoczęciem licytacji uczestnicy mają obowiązek złożyć na ręce komisji licytacyjnej:</w:t>
      </w:r>
    </w:p>
    <w:p w:rsidR="00147FF6" w:rsidRPr="005B5313" w:rsidRDefault="00147FF6" w:rsidP="00861BBD">
      <w:pPr>
        <w:pStyle w:val="Akapitzlis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oświadczenie, że uczestnik zapoznał się z regulaminem licytacji </w:t>
      </w:r>
      <w:r w:rsidR="00861BBD" w:rsidRPr="005B5313">
        <w:rPr>
          <w:rFonts w:ascii="Liberation Serif" w:hAnsi="Liberation Serif" w:cs="Liberation Serif"/>
          <w:sz w:val="24"/>
          <w:szCs w:val="24"/>
        </w:rPr>
        <w:t>i nie wnosi do </w:t>
      </w:r>
      <w:r w:rsidR="0013287A" w:rsidRPr="005B5313">
        <w:rPr>
          <w:rFonts w:ascii="Liberation Serif" w:hAnsi="Liberation Serif" w:cs="Liberation Serif"/>
          <w:sz w:val="24"/>
          <w:szCs w:val="24"/>
        </w:rPr>
        <w:t>niego zastrzeżeń,</w:t>
      </w:r>
    </w:p>
    <w:p w:rsidR="004C0FFA" w:rsidRPr="005B5313" w:rsidRDefault="00147FF6" w:rsidP="00861BBD">
      <w:pPr>
        <w:pStyle w:val="Akapitzlist"/>
        <w:numPr>
          <w:ilvl w:val="0"/>
          <w:numId w:val="8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potwierdzenie wpłaty wadium, o ile jest wymagane.</w:t>
      </w:r>
    </w:p>
    <w:p w:rsidR="00147FF6" w:rsidRDefault="00147FF6" w:rsidP="00861BBD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Warunkiem udziału w licytacji jest złożenie dokumentów, o których mowa w dziale VI pkt 2, oraz wpłacenie wadium o ile jest wymagane.</w:t>
      </w:r>
    </w:p>
    <w:p w:rsidR="000E1AAD" w:rsidRPr="005B5313" w:rsidRDefault="000E1AAD" w:rsidP="000E1AAD">
      <w:pPr>
        <w:pStyle w:val="Akapitzlist"/>
        <w:ind w:left="1440"/>
        <w:jc w:val="both"/>
        <w:rPr>
          <w:rFonts w:ascii="Liberation Serif" w:hAnsi="Liberation Serif" w:cs="Liberation Serif"/>
          <w:sz w:val="24"/>
          <w:szCs w:val="24"/>
        </w:rPr>
      </w:pPr>
    </w:p>
    <w:p w:rsidR="001018F8" w:rsidRPr="005B5313" w:rsidRDefault="00147FF6" w:rsidP="001018F8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lastRenderedPageBreak/>
        <w:t>Wadium wpłacić nal</w:t>
      </w:r>
      <w:r w:rsidR="005B5313" w:rsidRPr="005B5313">
        <w:rPr>
          <w:rFonts w:ascii="Liberation Serif" w:hAnsi="Liberation Serif" w:cs="Liberation Serif"/>
          <w:sz w:val="24"/>
          <w:szCs w:val="24"/>
        </w:rPr>
        <w:t>e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ży </w:t>
      </w:r>
      <w:r w:rsidR="00281E14" w:rsidRPr="005B5313">
        <w:rPr>
          <w:rFonts w:ascii="Liberation Serif" w:hAnsi="Liberation Serif" w:cs="Liberation Serif"/>
          <w:sz w:val="24"/>
          <w:szCs w:val="24"/>
        </w:rPr>
        <w:t>przelewem na rachunek bankowy Starostw</w:t>
      </w:r>
      <w:r w:rsidR="00965DE0" w:rsidRPr="005B5313">
        <w:rPr>
          <w:rFonts w:ascii="Liberation Serif" w:hAnsi="Liberation Serif" w:cs="Liberation Serif"/>
          <w:sz w:val="24"/>
          <w:szCs w:val="24"/>
        </w:rPr>
        <w:t>a Powiatowego w Jeleniej Górze</w:t>
      </w:r>
      <w:r w:rsidR="000E1AAD">
        <w:rPr>
          <w:rFonts w:ascii="Liberation Serif" w:hAnsi="Liberation Serif" w:cs="Liberation Serif"/>
          <w:sz w:val="24"/>
          <w:szCs w:val="24"/>
        </w:rPr>
        <w:t xml:space="preserve"> lub w kasie siedziby Starostwa</w:t>
      </w:r>
      <w:r w:rsidR="005B5313" w:rsidRPr="005B5313">
        <w:rPr>
          <w:rFonts w:ascii="Liberation Serif" w:hAnsi="Liberation Serif" w:cs="Liberation Serif"/>
          <w:sz w:val="24"/>
          <w:szCs w:val="24"/>
        </w:rPr>
        <w:t>.</w:t>
      </w:r>
      <w:r w:rsidR="00965DE0" w:rsidRPr="005B5313">
        <w:rPr>
          <w:rFonts w:ascii="Liberation Serif" w:hAnsi="Liberation Serif" w:cs="Liberation Serif"/>
          <w:sz w:val="24"/>
          <w:szCs w:val="24"/>
        </w:rPr>
        <w:t xml:space="preserve"> Za termin wniesienia wadium w formie pieniężnej przyjmuje się termin uznania na rachunku bankowym Starostwa Powiatowego w Jeleniej Górze.</w:t>
      </w:r>
    </w:p>
    <w:p w:rsidR="00181F71" w:rsidRPr="005B5313" w:rsidRDefault="00D65331" w:rsidP="00181F71">
      <w:pPr>
        <w:pStyle w:val="Akapitzlist"/>
        <w:numPr>
          <w:ilvl w:val="0"/>
          <w:numId w:val="7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Wadium zwraca się po zakończeniu (rozstrzygnięciu) licytacji z zastrzeżeniem, że wadium wniesione przez uczestnika, który </w:t>
      </w:r>
      <w:r w:rsidR="00861BBD" w:rsidRPr="005B5313">
        <w:rPr>
          <w:rFonts w:ascii="Liberation Serif" w:hAnsi="Liberation Serif" w:cs="Liberation Serif"/>
          <w:sz w:val="24"/>
          <w:szCs w:val="24"/>
        </w:rPr>
        <w:t>licytację wygrał, zwraca się po </w:t>
      </w:r>
      <w:r w:rsidRPr="005B5313">
        <w:rPr>
          <w:rFonts w:ascii="Liberation Serif" w:hAnsi="Liberation Serif" w:cs="Liberation Serif"/>
          <w:sz w:val="24"/>
          <w:szCs w:val="24"/>
        </w:rPr>
        <w:t>podpisaniu umowy. Na wniosek uczestnika wadium może być zaliczone na poczet płatności za przedmiot licytacji.</w:t>
      </w:r>
    </w:p>
    <w:p w:rsidR="00D65331" w:rsidRPr="005B5313" w:rsidRDefault="00D65331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Przebieg licytacji :</w:t>
      </w:r>
    </w:p>
    <w:p w:rsidR="00D65331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Licytacja odbywa się ustnie.</w:t>
      </w:r>
    </w:p>
    <w:p w:rsidR="00D65331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Wylicytowana kwota stanowić będzie cenę sprzedaży pojazdu będącego przedmiotem licytacji.</w:t>
      </w:r>
    </w:p>
    <w:p w:rsidR="00216282" w:rsidRPr="005B5313" w:rsidRDefault="00D65331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Licytacja rozpoczyna się od wywołania ceny. Zaoferowana </w:t>
      </w:r>
      <w:r w:rsidR="00216282" w:rsidRPr="005B5313">
        <w:rPr>
          <w:rFonts w:ascii="Liberation Serif" w:hAnsi="Liberation Serif" w:cs="Liberation Serif"/>
          <w:sz w:val="24"/>
          <w:szCs w:val="24"/>
        </w:rPr>
        <w:t>cena przestaje wiązać uczestnika licytacji, jeżeli inny uczestnik zaoferował cenę wyższą, zwaną dalej   „postąpieniem”. Powiat Jeleniogórski przyzna własność sprzedanej ruchomości, zwanej dalej „przybiciem”, osobie, która zaoferowała najwyższą cenę.</w:t>
      </w:r>
    </w:p>
    <w:p w:rsidR="00216282" w:rsidRPr="005B5313" w:rsidRDefault="00216282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Przed rozpoczęciem licytacji prowadzący licytację podaje minimalną wysokość postąpienia.</w:t>
      </w:r>
    </w:p>
    <w:p w:rsidR="0013287A" w:rsidRPr="005B5313" w:rsidRDefault="000E1AAD" w:rsidP="000E1AA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W</w:t>
      </w:r>
      <w:r w:rsidR="0013287A" w:rsidRPr="005B5313">
        <w:rPr>
          <w:rFonts w:ascii="Liberation Serif" w:hAnsi="Liberation Serif" w:cs="Liberation Serif"/>
          <w:sz w:val="24"/>
          <w:szCs w:val="24"/>
        </w:rPr>
        <w:t xml:space="preserve"> licytacji nie mogą uczestniczyć </w:t>
      </w:r>
      <w:r>
        <w:rPr>
          <w:rFonts w:ascii="Liberation Serif" w:hAnsi="Liberation Serif" w:cs="Liberation Serif"/>
          <w:sz w:val="24"/>
          <w:szCs w:val="24"/>
        </w:rPr>
        <w:t xml:space="preserve">osoby wskazane w art. 107 </w:t>
      </w:r>
      <w:r w:rsidRPr="000E1AAD">
        <w:rPr>
          <w:rFonts w:ascii="Liberation Serif" w:hAnsi="Liberation Serif" w:cs="Liberation Serif"/>
          <w:sz w:val="24"/>
          <w:szCs w:val="24"/>
        </w:rPr>
        <w:t>§ 4</w:t>
      </w:r>
      <w:r>
        <w:rPr>
          <w:rFonts w:ascii="Liberation Serif" w:hAnsi="Liberation Serif" w:cs="Liberation Serif"/>
          <w:sz w:val="24"/>
          <w:szCs w:val="24"/>
        </w:rPr>
        <w:t xml:space="preserve"> ustawy z dnia 17 </w:t>
      </w:r>
      <w:r w:rsidRPr="000E1AAD">
        <w:rPr>
          <w:rFonts w:ascii="Liberation Serif" w:hAnsi="Liberation Serif" w:cs="Liberation Serif"/>
          <w:sz w:val="24"/>
          <w:szCs w:val="24"/>
        </w:rPr>
        <w:t>czerwca 1966 r. o postępowaniu egzekucyjnym w administracji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EB1952" w:rsidRPr="005B5313" w:rsidRDefault="0001706C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ogłasza się na tablicy ogłoszeń w siedzibie Starostwa Powiatowego w</w:t>
      </w:r>
      <w:r w:rsidR="00861BBD" w:rsidRPr="005B5313">
        <w:rPr>
          <w:rFonts w:ascii="Liberation Serif" w:hAnsi="Liberation Serif" w:cs="Liberation Serif"/>
          <w:sz w:val="24"/>
          <w:szCs w:val="24"/>
        </w:rPr>
        <w:t> 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Jeleniej Górze, oraz na stronie internetowej organizatora pod adresem </w:t>
      </w:r>
      <w:r w:rsidR="00340801">
        <w:rPr>
          <w:rFonts w:ascii="Liberation Serif" w:hAnsi="Liberation Serif" w:cs="Liberation Serif"/>
          <w:b/>
          <w:sz w:val="24"/>
          <w:szCs w:val="24"/>
          <w:u w:val="single"/>
        </w:rPr>
        <w:t>www.jeleniogorski</w:t>
      </w:r>
      <w:r w:rsidRPr="005B5313">
        <w:rPr>
          <w:rFonts w:ascii="Liberation Serif" w:hAnsi="Liberation Serif" w:cs="Liberation Serif"/>
          <w:b/>
          <w:sz w:val="24"/>
          <w:szCs w:val="24"/>
          <w:u w:val="single"/>
        </w:rPr>
        <w:t>.pl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5B5313">
        <w:rPr>
          <w:rFonts w:ascii="Liberation Serif" w:hAnsi="Liberation Serif" w:cs="Liberation Serif"/>
          <w:sz w:val="24"/>
          <w:szCs w:val="24"/>
        </w:rPr>
        <w:t>oraz w Biuletynie Informacji Publicznej</w:t>
      </w:r>
      <w:r w:rsidR="00EB1952" w:rsidRPr="005B5313">
        <w:rPr>
          <w:rFonts w:ascii="Liberation Serif" w:hAnsi="Liberation Serif" w:cs="Liberation Serif"/>
          <w:sz w:val="24"/>
          <w:szCs w:val="24"/>
        </w:rPr>
        <w:t>, a w sytuacji gdy oszacowana wartość przekracza kwotę 4.500,00 zł – także w poczytnym dzienniku, najpóźniej na 3 dni przed wyznaczonym terminem licytacji.</w:t>
      </w:r>
    </w:p>
    <w:p w:rsidR="00EB1952" w:rsidRPr="005B5313" w:rsidRDefault="00EB1952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Ogłoszenie powinno zawi</w:t>
      </w:r>
      <w:r w:rsidR="002D3B59" w:rsidRPr="005B5313">
        <w:rPr>
          <w:rFonts w:ascii="Liberation Serif" w:hAnsi="Liberation Serif" w:cs="Liberation Serif"/>
          <w:sz w:val="24"/>
          <w:szCs w:val="24"/>
        </w:rPr>
        <w:t xml:space="preserve">erać 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: 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informację dotyczącą organizatora,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określenie ruchomości, któr</w:t>
      </w:r>
      <w:r w:rsidR="005B5313">
        <w:rPr>
          <w:rFonts w:ascii="Liberation Serif" w:hAnsi="Liberation Serif" w:cs="Liberation Serif"/>
          <w:sz w:val="24"/>
          <w:szCs w:val="24"/>
        </w:rPr>
        <w:t>a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ma być sprzedan</w:t>
      </w:r>
      <w:r w:rsidR="005B5313">
        <w:rPr>
          <w:rFonts w:ascii="Liberation Serif" w:hAnsi="Liberation Serif" w:cs="Liberation Serif"/>
          <w:sz w:val="24"/>
          <w:szCs w:val="24"/>
        </w:rPr>
        <w:t>a</w:t>
      </w:r>
      <w:r w:rsidRPr="005B5313">
        <w:rPr>
          <w:rFonts w:ascii="Liberation Serif" w:hAnsi="Liberation Serif" w:cs="Liberation Serif"/>
          <w:sz w:val="24"/>
          <w:szCs w:val="24"/>
        </w:rPr>
        <w:t>, z podaniem rodzaju i kwoty oszacowania,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kwotę rozpoczęcia licytacji, oraz kwotę postąpienia,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termin i miejsce licytacji,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datę, godzinę i miejsce, gdzie będzie możliwość obejrzenia przedmiotu licytacji,</w:t>
      </w:r>
    </w:p>
    <w:p w:rsidR="00EB1952" w:rsidRPr="005B5313" w:rsidRDefault="00EB1952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wysokość wadium i termin jego wpłacenia, gdy jest wymagane,</w:t>
      </w:r>
    </w:p>
    <w:p w:rsidR="002D3B59" w:rsidRPr="005B5313" w:rsidRDefault="002D3B59" w:rsidP="00861BBD">
      <w:pPr>
        <w:pStyle w:val="Akapitzlist"/>
        <w:numPr>
          <w:ilvl w:val="0"/>
          <w:numId w:val="11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imię i nazwisko oraz adres ostatniego właściciela </w:t>
      </w:r>
      <w:r w:rsidR="00861BBD" w:rsidRPr="005B5313">
        <w:rPr>
          <w:rFonts w:ascii="Liberation Serif" w:hAnsi="Liberation Serif" w:cs="Liberation Serif"/>
          <w:sz w:val="24"/>
          <w:szCs w:val="24"/>
        </w:rPr>
        <w:t>pojazdu, przed przejęciem go na </w:t>
      </w:r>
      <w:r w:rsidRPr="005B5313">
        <w:rPr>
          <w:rFonts w:ascii="Liberation Serif" w:hAnsi="Liberation Serif" w:cs="Liberation Serif"/>
          <w:sz w:val="24"/>
          <w:szCs w:val="24"/>
        </w:rPr>
        <w:t>własność powiatu.</w:t>
      </w:r>
      <w:r w:rsidR="00EB1952" w:rsidRPr="005B5313">
        <w:rPr>
          <w:rFonts w:ascii="Liberation Serif" w:hAnsi="Liberation Serif" w:cs="Liberation Serif"/>
          <w:sz w:val="24"/>
          <w:szCs w:val="24"/>
        </w:rPr>
        <w:t xml:space="preserve">  </w:t>
      </w:r>
    </w:p>
    <w:p w:rsidR="00531A1D" w:rsidRPr="009B079D" w:rsidRDefault="002D3B59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9B079D">
        <w:rPr>
          <w:rFonts w:ascii="Liberation Serif" w:hAnsi="Liberation Serif" w:cs="Liberation Serif"/>
          <w:sz w:val="24"/>
          <w:szCs w:val="24"/>
        </w:rPr>
        <w:t>Uczestnik licytacji może działać przez pełnomocnika.</w:t>
      </w:r>
      <w:r w:rsidR="009B079D" w:rsidRPr="009B079D">
        <w:rPr>
          <w:rFonts w:ascii="Liberation Serif" w:hAnsi="Liberation Serif" w:cs="Liberation Serif"/>
          <w:sz w:val="24"/>
          <w:szCs w:val="24"/>
        </w:rPr>
        <w:t xml:space="preserve"> </w:t>
      </w:r>
      <w:r w:rsidRPr="009B079D">
        <w:rPr>
          <w:rFonts w:ascii="Liberation Serif" w:hAnsi="Liberation Serif" w:cs="Liberation Serif"/>
          <w:sz w:val="24"/>
          <w:szCs w:val="24"/>
        </w:rPr>
        <w:t>W takim przypadku powinien przedstawić oryginał pełnomocnictwa.</w:t>
      </w:r>
    </w:p>
    <w:p w:rsidR="0059046A" w:rsidRPr="005B5313" w:rsidRDefault="002D3B59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wygrywa uczestnik, który zgłosił najwyższa cenę, jeżeli po trzykrotnym wezwaniu do dalszych postąpień, nikt więcej nie zaoferował</w:t>
      </w:r>
      <w:r w:rsidR="00531A1D"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531A1D" w:rsidRPr="005B5313" w:rsidRDefault="00531A1D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Przewodniczący zamyka licytację i ogłasza imię i nazwisko lub nazwę albo firmę, która licytację wygrała, oraz wylicytowaną cenę.</w:t>
      </w:r>
    </w:p>
    <w:p w:rsidR="00531A1D" w:rsidRPr="005B5313" w:rsidRDefault="00531A1D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Z chwilą udzielenia przybicia następuje sprzedaż przedmiotu licytacji.</w:t>
      </w:r>
    </w:p>
    <w:p w:rsidR="00181F71" w:rsidRPr="005B5313" w:rsidRDefault="00531A1D" w:rsidP="00181F71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Nabywca jest obowiązany uiścić natychmiast po udzieleniu mu przybicia przynajmniej cenę wywołania – </w:t>
      </w:r>
      <w:r w:rsidRPr="005B5313">
        <w:rPr>
          <w:rFonts w:ascii="Liberation Serif" w:hAnsi="Liberation Serif" w:cs="Liberation Serif"/>
          <w:sz w:val="24"/>
          <w:szCs w:val="24"/>
          <w:u w:val="single"/>
        </w:rPr>
        <w:t>wpłata gotówką do</w:t>
      </w:r>
      <w:r w:rsidR="00861BBD" w:rsidRPr="005B5313">
        <w:rPr>
          <w:rFonts w:ascii="Liberation Serif" w:hAnsi="Liberation Serif" w:cs="Liberation Serif"/>
          <w:sz w:val="24"/>
          <w:szCs w:val="24"/>
          <w:u w:val="single"/>
        </w:rPr>
        <w:t xml:space="preserve"> kasy w Starostwie Powiatowym w </w:t>
      </w:r>
      <w:r w:rsidRPr="005B5313">
        <w:rPr>
          <w:rFonts w:ascii="Liberation Serif" w:hAnsi="Liberation Serif" w:cs="Liberation Serif"/>
          <w:sz w:val="24"/>
          <w:szCs w:val="24"/>
          <w:u w:val="single"/>
        </w:rPr>
        <w:t>Jeleniej Górze.</w:t>
      </w:r>
      <w:r w:rsidR="009B079D" w:rsidRPr="009B079D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>Jeżeli tej ceny nie uiści, traci prawo wynikłe z przybicia</w:t>
      </w:r>
      <w:r w:rsidR="00B87F94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i nie może uczestniczyć w dalszej licytacji. Komisja licytacyjna wznawia niezwłocznie licytację </w:t>
      </w:r>
      <w:r w:rsidR="009B079D">
        <w:rPr>
          <w:rFonts w:ascii="Liberation Serif" w:hAnsi="Liberation Serif" w:cs="Liberation Serif"/>
          <w:sz w:val="24"/>
          <w:szCs w:val="24"/>
        </w:rPr>
        <w:t>pojazdu</w:t>
      </w:r>
      <w:r w:rsidRPr="005B5313">
        <w:rPr>
          <w:rFonts w:ascii="Liberation Serif" w:hAnsi="Liberation Serif" w:cs="Liberation Serif"/>
          <w:sz w:val="24"/>
          <w:szCs w:val="24"/>
        </w:rPr>
        <w:t>, rozpoczynając ją od ceny wywołania.</w:t>
      </w:r>
    </w:p>
    <w:p w:rsidR="00D6199B" w:rsidRPr="005B5313" w:rsidRDefault="00B87F94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Różnicę między ceną nabycia, a kwotą wpłaconą po udzieleniu przybicia, nabywca ureguluje, pod rygorem przewidzianym w pkt 14, do godziny dwunastej dnia następnego. Nabywca, który w tym terminie nie zapłaci reszty ceny, traci prawo wynikłe z przybicia i prawo do zwrotu kwoty </w:t>
      </w:r>
      <w:r w:rsidR="00D6199B" w:rsidRPr="005B5313">
        <w:rPr>
          <w:rFonts w:ascii="Liberation Serif" w:hAnsi="Liberation Serif" w:cs="Liberation Serif"/>
          <w:sz w:val="24"/>
          <w:szCs w:val="24"/>
        </w:rPr>
        <w:t>uregulowanej w czasie licytacji.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Osoby, które utraciły prawo wynikłe z przybicia, tracą prawo do zwrotu kwoty wpłaconej tytułem wadium.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Licytację uważa się za niedoszłą do skutku, jeżeli nie weźmie w niej udział przynajmniej dwóch uczestników, jak równ</w:t>
      </w:r>
      <w:r w:rsidR="00861BBD" w:rsidRPr="005B5313">
        <w:rPr>
          <w:rFonts w:ascii="Liberation Serif" w:hAnsi="Liberation Serif" w:cs="Liberation Serif"/>
          <w:sz w:val="24"/>
          <w:szCs w:val="24"/>
        </w:rPr>
        <w:t>ież gdy żaden z uczestników nie </w:t>
      </w:r>
      <w:r w:rsidRPr="005B5313">
        <w:rPr>
          <w:rFonts w:ascii="Liberation Serif" w:hAnsi="Liberation Serif" w:cs="Liberation Serif"/>
          <w:sz w:val="24"/>
          <w:szCs w:val="24"/>
        </w:rPr>
        <w:t>zaoferował nawet ceny wywołania.</w:t>
      </w:r>
      <w:r w:rsidR="009B079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D6199B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Organizator w przypadku nie wyłonienia zwycięzcy pierwszej licytacji podejmie odpowiednie kroki zmierzające do ogłoszenia kolejnej licytacji.</w:t>
      </w:r>
      <w:r w:rsidR="009B079D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A53AFC" w:rsidRPr="005B5313" w:rsidRDefault="00D6199B" w:rsidP="00861BBD">
      <w:pPr>
        <w:pStyle w:val="Akapitzlist"/>
        <w:numPr>
          <w:ilvl w:val="0"/>
          <w:numId w:val="9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Pojazd, który nie został sprzedany w drugiej licytacji organizator sprzedaje z wolnej ręki po cenie przez siebie ustalonej, jednak nie niższej od 1/3 wartości szacunkowej pojazdu</w:t>
      </w:r>
      <w:r w:rsidR="00A53AFC" w:rsidRPr="005B5313">
        <w:rPr>
          <w:rFonts w:ascii="Liberation Serif" w:hAnsi="Liberation Serif" w:cs="Liberation Serif"/>
          <w:sz w:val="24"/>
          <w:szCs w:val="24"/>
        </w:rPr>
        <w:t>.</w:t>
      </w:r>
    </w:p>
    <w:p w:rsidR="00B87F94" w:rsidRPr="005B5313" w:rsidRDefault="00A53AFC" w:rsidP="00861BBD">
      <w:pPr>
        <w:pStyle w:val="Akapitzlist"/>
        <w:numPr>
          <w:ilvl w:val="0"/>
          <w:numId w:val="2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Postanowienia końcowe :</w:t>
      </w:r>
      <w:r w:rsidR="00B87F94" w:rsidRPr="005B5313">
        <w:rPr>
          <w:rFonts w:ascii="Liberation Serif" w:hAnsi="Liberation Serif" w:cs="Liberation Serif"/>
          <w:b/>
          <w:sz w:val="24"/>
          <w:szCs w:val="24"/>
        </w:rPr>
        <w:t xml:space="preserve"> </w:t>
      </w:r>
    </w:p>
    <w:p w:rsidR="00A53AFC" w:rsidRPr="005B5313" w:rsidRDefault="00A53AFC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Komisja przeprowadzająca licytację sporządza protokół, któr</w:t>
      </w:r>
      <w:r w:rsidR="00041BD2" w:rsidRPr="005B5313">
        <w:rPr>
          <w:rFonts w:ascii="Liberation Serif" w:hAnsi="Liberation Serif" w:cs="Liberation Serif"/>
          <w:sz w:val="24"/>
          <w:szCs w:val="24"/>
        </w:rPr>
        <w:t>ego wzór stanowi załącznik do „R</w:t>
      </w:r>
      <w:r w:rsidRPr="005B5313">
        <w:rPr>
          <w:rFonts w:ascii="Liberation Serif" w:hAnsi="Liberation Serif" w:cs="Liberation Serif"/>
          <w:sz w:val="24"/>
          <w:szCs w:val="24"/>
        </w:rPr>
        <w:t>egulaminu</w:t>
      </w:r>
      <w:r w:rsidR="00041BD2" w:rsidRPr="005B5313">
        <w:rPr>
          <w:rFonts w:ascii="Liberation Serif" w:hAnsi="Liberation Serif" w:cs="Liberation Serif"/>
          <w:sz w:val="24"/>
          <w:szCs w:val="24"/>
        </w:rPr>
        <w:t xml:space="preserve"> sprzedaży”</w:t>
      </w:r>
      <w:r w:rsidRPr="005B5313">
        <w:rPr>
          <w:rFonts w:ascii="Liberation Serif" w:hAnsi="Liberation Serif" w:cs="Liberation Serif"/>
          <w:sz w:val="24"/>
          <w:szCs w:val="24"/>
        </w:rPr>
        <w:t>, w którym określa :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termin i miejsce licytacji oraz datę sporządzenia protokołu,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przedmiot licytacji, 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wykaz uczestników licytacji, 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imię, nazwisko i adres lub nazwę (firmę) i siedzibę osoby która zaoferowała najwyższą kwotę,</w:t>
      </w:r>
    </w:p>
    <w:p w:rsidR="00A53AFC" w:rsidRPr="005B5313" w:rsidRDefault="00A53AFC" w:rsidP="00861BBD">
      <w:pPr>
        <w:pStyle w:val="Akapitzlist"/>
        <w:numPr>
          <w:ilvl w:val="0"/>
          <w:numId w:val="13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imiona, nazwiska i podpisy przewodniczącego oraz pozostałych członków komisji.</w:t>
      </w:r>
    </w:p>
    <w:p w:rsidR="00785993" w:rsidRPr="005B5313" w:rsidRDefault="00A53AFC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Protokół z przeprowadzonej licytacji podpisuje przewodniczący i członkowie komisji licytacyjnej</w:t>
      </w:r>
      <w:r w:rsidR="00785993" w:rsidRPr="005B5313">
        <w:rPr>
          <w:rFonts w:ascii="Liberation Serif" w:hAnsi="Liberation Serif" w:cs="Liberation Serif"/>
          <w:sz w:val="24"/>
          <w:szCs w:val="24"/>
        </w:rPr>
        <w:t xml:space="preserve"> oraz osoba wyłoniona w licytacji jako kupujący.</w:t>
      </w:r>
    </w:p>
    <w:p w:rsidR="00785993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Uczestnik licytacji może zgłosić do protokołu licytacji skargę na naruszenie przepisów o przeprowadzaniu licytacji. Skarga podlega rozpatrzeniu w terminie 7 dni od dnia zgłoszenia.</w:t>
      </w:r>
    </w:p>
    <w:p w:rsidR="00785993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Dowodem sprzedaży pojazdu będzie wystawiona przez Starostwo Powiatowe w Jeleniej Górze faktura VAT.</w:t>
      </w:r>
    </w:p>
    <w:p w:rsidR="00A53AFC" w:rsidRPr="005B5313" w:rsidRDefault="00785993" w:rsidP="00861BBD">
      <w:pPr>
        <w:pStyle w:val="Akapitzlist"/>
        <w:numPr>
          <w:ilvl w:val="0"/>
          <w:numId w:val="12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W sprawach nieuregulowanych niniejszym Regulaminem zastosowanie mają przepisy ustawy z dnia 17 czerwca 1966 r. o postępowaniu eg</w:t>
      </w:r>
      <w:r w:rsidR="00C53254">
        <w:rPr>
          <w:rFonts w:ascii="Liberation Serif" w:hAnsi="Liberation Serif" w:cs="Liberation Serif"/>
          <w:sz w:val="24"/>
          <w:szCs w:val="24"/>
        </w:rPr>
        <w:t>zekucyjnym w administracji (</w:t>
      </w:r>
      <w:r w:rsidR="00320422" w:rsidRPr="005B5313">
        <w:rPr>
          <w:rFonts w:ascii="Liberation Serif" w:hAnsi="Liberation Serif" w:cs="Liberation Serif"/>
          <w:sz w:val="24"/>
          <w:szCs w:val="24"/>
        </w:rPr>
        <w:t>Dz. U</w:t>
      </w:r>
      <w:r w:rsidR="001C65D0" w:rsidRPr="005B5313">
        <w:rPr>
          <w:rFonts w:ascii="Liberation Serif" w:hAnsi="Liberation Serif" w:cs="Liberation Serif"/>
          <w:sz w:val="24"/>
          <w:szCs w:val="24"/>
        </w:rPr>
        <w:t>.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 z </w:t>
      </w:r>
      <w:r w:rsidR="001C65D0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C53254">
        <w:rPr>
          <w:rFonts w:ascii="Liberation Serif" w:hAnsi="Liberation Serif" w:cs="Liberation Serif"/>
          <w:sz w:val="24"/>
          <w:szCs w:val="24"/>
        </w:rPr>
        <w:t>2016 r. poz. 599</w:t>
      </w:r>
      <w:bookmarkStart w:id="0" w:name="_GoBack"/>
      <w:bookmarkEnd w:id="0"/>
      <w:r w:rsidRPr="005B5313">
        <w:rPr>
          <w:rFonts w:ascii="Liberation Serif" w:hAnsi="Liberation Serif" w:cs="Liberation Serif"/>
          <w:sz w:val="24"/>
          <w:szCs w:val="24"/>
        </w:rPr>
        <w:t xml:space="preserve"> z </w:t>
      </w:r>
      <w:proofErr w:type="spellStart"/>
      <w:r w:rsidRPr="005B53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5B5313">
        <w:rPr>
          <w:rFonts w:ascii="Liberation Serif" w:hAnsi="Liberation Serif" w:cs="Liberation Serif"/>
          <w:sz w:val="24"/>
          <w:szCs w:val="24"/>
        </w:rPr>
        <w:t>. zm.), rozporządzenia</w:t>
      </w:r>
      <w:r w:rsidR="00861BBD" w:rsidRPr="005B5313">
        <w:rPr>
          <w:rFonts w:ascii="Liberation Serif" w:hAnsi="Liberation Serif" w:cs="Liberation Serif"/>
          <w:sz w:val="24"/>
          <w:szCs w:val="24"/>
        </w:rPr>
        <w:t xml:space="preserve"> Rady Ministrów z dnia 28 </w:t>
      </w:r>
      <w:r w:rsidR="001C65D0" w:rsidRPr="005B5313">
        <w:rPr>
          <w:rFonts w:ascii="Liberation Serif" w:hAnsi="Liberation Serif" w:cs="Liberation Serif"/>
          <w:sz w:val="24"/>
          <w:szCs w:val="24"/>
        </w:rPr>
        <w:t>lutego 2011 r. w </w:t>
      </w:r>
      <w:r w:rsidRPr="005B5313">
        <w:rPr>
          <w:rFonts w:ascii="Liberation Serif" w:hAnsi="Liberation Serif" w:cs="Liberation Serif"/>
          <w:sz w:val="24"/>
          <w:szCs w:val="24"/>
        </w:rPr>
        <w:t>sprawie rozciągnięci</w:t>
      </w:r>
      <w:r w:rsidR="00861BBD" w:rsidRPr="005B5313">
        <w:rPr>
          <w:rFonts w:ascii="Liberation Serif" w:hAnsi="Liberation Serif" w:cs="Liberation Serif"/>
          <w:sz w:val="24"/>
          <w:szCs w:val="24"/>
        </w:rPr>
        <w:t>a stosowania przepisów ustawy o </w:t>
      </w:r>
      <w:r w:rsidRPr="005B5313">
        <w:rPr>
          <w:rFonts w:ascii="Liberation Serif" w:hAnsi="Liberation Serif" w:cs="Liberation Serif"/>
          <w:sz w:val="24"/>
          <w:szCs w:val="24"/>
        </w:rPr>
        <w:t xml:space="preserve">postępowaniu egzekucyjnym w administracji (Dz. </w:t>
      </w:r>
      <w:r w:rsidR="000267A6" w:rsidRPr="005B5313">
        <w:rPr>
          <w:rFonts w:ascii="Liberation Serif" w:hAnsi="Liberation Serif" w:cs="Liberation Serif"/>
          <w:sz w:val="24"/>
          <w:szCs w:val="24"/>
        </w:rPr>
        <w:t>U</w:t>
      </w:r>
      <w:r w:rsidR="001C65D0" w:rsidRPr="005B5313">
        <w:rPr>
          <w:rFonts w:ascii="Liberation Serif" w:hAnsi="Liberation Serif" w:cs="Liberation Serif"/>
          <w:sz w:val="24"/>
          <w:szCs w:val="24"/>
        </w:rPr>
        <w:t>.</w:t>
      </w:r>
      <w:r w:rsidR="00861BBD" w:rsidRPr="005B5313">
        <w:rPr>
          <w:rFonts w:ascii="Liberation Serif" w:hAnsi="Liberation Serif" w:cs="Liberation Serif"/>
          <w:sz w:val="24"/>
          <w:szCs w:val="24"/>
        </w:rPr>
        <w:t xml:space="preserve"> z 2011 r. Nr 46, poz. 237, z </w:t>
      </w:r>
      <w:proofErr w:type="spellStart"/>
      <w:r w:rsidRPr="005B5313">
        <w:rPr>
          <w:rFonts w:ascii="Liberation Serif" w:hAnsi="Liberation Serif" w:cs="Liberation Serif"/>
          <w:sz w:val="24"/>
          <w:szCs w:val="24"/>
        </w:rPr>
        <w:t>późn</w:t>
      </w:r>
      <w:proofErr w:type="spellEnd"/>
      <w:r w:rsidRPr="005B5313">
        <w:rPr>
          <w:rFonts w:ascii="Liberation Serif" w:hAnsi="Liberation Serif" w:cs="Liberation Serif"/>
          <w:sz w:val="24"/>
          <w:szCs w:val="24"/>
        </w:rPr>
        <w:t>. zm.)</w:t>
      </w:r>
      <w:r w:rsidR="00A53AFC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Pr="005B5313">
        <w:rPr>
          <w:rFonts w:ascii="Liberation Serif" w:hAnsi="Liberation Serif" w:cs="Liberation Serif"/>
          <w:sz w:val="24"/>
          <w:szCs w:val="24"/>
        </w:rPr>
        <w:t>oraz inne obowiązujące przepisy prawne.</w:t>
      </w:r>
    </w:p>
    <w:p w:rsidR="00FA5A8B" w:rsidRPr="005B5313" w:rsidRDefault="00FA5A8B" w:rsidP="00FA5A8B">
      <w:pPr>
        <w:rPr>
          <w:rFonts w:ascii="Liberation Serif" w:hAnsi="Liberation Serif" w:cs="Liberation Serif"/>
          <w:sz w:val="24"/>
          <w:szCs w:val="24"/>
        </w:rPr>
      </w:pPr>
    </w:p>
    <w:p w:rsidR="00FA5A8B" w:rsidRDefault="00FA5A8B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8E2922" w:rsidRPr="005B5313" w:rsidRDefault="008E2922" w:rsidP="00FA5A8B">
      <w:pPr>
        <w:rPr>
          <w:rFonts w:ascii="Liberation Serif" w:hAnsi="Liberation Serif" w:cs="Liberation Serif"/>
          <w:sz w:val="24"/>
          <w:szCs w:val="24"/>
        </w:rPr>
      </w:pPr>
    </w:p>
    <w:p w:rsidR="005063C8" w:rsidRPr="005B5313" w:rsidRDefault="005063C8" w:rsidP="00FA5A8B">
      <w:pPr>
        <w:rPr>
          <w:rFonts w:ascii="Liberation Serif" w:hAnsi="Liberation Serif" w:cs="Liberation Serif"/>
          <w:sz w:val="24"/>
          <w:szCs w:val="24"/>
        </w:rPr>
      </w:pPr>
    </w:p>
    <w:p w:rsidR="00041BD2" w:rsidRPr="005B5313" w:rsidRDefault="00041BD2" w:rsidP="00041BD2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Załącznik do </w:t>
      </w:r>
    </w:p>
    <w:p w:rsidR="006571CD" w:rsidRPr="005B5313" w:rsidRDefault="00041BD2" w:rsidP="00276B0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Regulaminu s</w:t>
      </w:r>
      <w:r w:rsidR="00FA5A8B" w:rsidRPr="005B5313">
        <w:rPr>
          <w:rFonts w:ascii="Liberation Serif" w:hAnsi="Liberation Serif" w:cs="Liberation Serif"/>
          <w:sz w:val="24"/>
          <w:szCs w:val="24"/>
        </w:rPr>
        <w:t>przedaży</w:t>
      </w:r>
    </w:p>
    <w:p w:rsidR="00DD736A" w:rsidRPr="005B5313" w:rsidRDefault="00DD736A" w:rsidP="00276B03">
      <w:pPr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</w:p>
    <w:p w:rsidR="00FA5A8B" w:rsidRPr="005B5313" w:rsidRDefault="00FA5A8B" w:rsidP="008F2014">
      <w:pPr>
        <w:tabs>
          <w:tab w:val="left" w:pos="3180"/>
        </w:tabs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Protokół</w:t>
      </w:r>
    </w:p>
    <w:p w:rsidR="00D206AC" w:rsidRPr="005B5313" w:rsidRDefault="00FA5A8B" w:rsidP="006571CD">
      <w:pPr>
        <w:tabs>
          <w:tab w:val="left" w:pos="570"/>
          <w:tab w:val="left" w:pos="3180"/>
        </w:tabs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ab/>
      </w:r>
      <w:r w:rsidRPr="005B5313">
        <w:rPr>
          <w:rFonts w:ascii="Liberation Serif" w:hAnsi="Liberation Serif" w:cs="Liberation Serif"/>
          <w:sz w:val="24"/>
          <w:szCs w:val="24"/>
        </w:rPr>
        <w:t>Sporządzony w dniu ……………….. w Starostwie Powiatowym w Jeleniej Górze przy ul. Kochanowskiego 10, z licytacji publicznej pojazdu ………………………………………</w:t>
      </w:r>
      <w:r w:rsidR="00151DBC" w:rsidRPr="005B5313">
        <w:rPr>
          <w:rFonts w:ascii="Liberation Serif" w:hAnsi="Liberation Serif" w:cs="Liberation Serif"/>
          <w:sz w:val="24"/>
          <w:szCs w:val="24"/>
        </w:rPr>
        <w:t>….</w:t>
      </w:r>
      <w:r w:rsidRPr="005B5313">
        <w:rPr>
          <w:rFonts w:ascii="Liberation Serif" w:hAnsi="Liberation Serif" w:cs="Liberation Serif"/>
          <w:sz w:val="24"/>
          <w:szCs w:val="24"/>
        </w:rPr>
        <w:tab/>
      </w:r>
    </w:p>
    <w:p w:rsidR="008F2014" w:rsidRPr="005B5313" w:rsidRDefault="00D206AC" w:rsidP="00151DBC">
      <w:pPr>
        <w:spacing w:after="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Komisja licytacyjna w składzie</w:t>
      </w:r>
      <w:r w:rsidR="008F2014" w:rsidRPr="005B5313">
        <w:rPr>
          <w:rFonts w:ascii="Liberation Serif" w:hAnsi="Liberation Serif" w:cs="Liberation Serif"/>
          <w:b/>
          <w:sz w:val="24"/>
          <w:szCs w:val="24"/>
        </w:rPr>
        <w:t xml:space="preserve"> :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Przewodniczący  – Zenon Bednarz  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Wiceprzewodnicząca - Aneta </w:t>
      </w:r>
      <w:proofErr w:type="spellStart"/>
      <w:r w:rsidRPr="005B5313">
        <w:rPr>
          <w:rFonts w:ascii="Liberation Serif" w:hAnsi="Liberation Serif" w:cs="Liberation Serif"/>
          <w:bCs/>
          <w:sz w:val="24"/>
          <w:szCs w:val="24"/>
        </w:rPr>
        <w:t>Sempiak</w:t>
      </w:r>
      <w:proofErr w:type="spellEnd"/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 </w:t>
      </w:r>
    </w:p>
    <w:p w:rsidR="008F2014" w:rsidRPr="005B5313" w:rsidRDefault="008F2014" w:rsidP="0011568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120" w:line="240" w:lineRule="auto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Sekretarz – Edward </w:t>
      </w:r>
      <w:proofErr w:type="spellStart"/>
      <w:r w:rsidRPr="005B5313">
        <w:rPr>
          <w:rFonts w:ascii="Liberation Serif" w:hAnsi="Liberation Serif" w:cs="Liberation Serif"/>
          <w:bCs/>
          <w:sz w:val="24"/>
          <w:szCs w:val="24"/>
        </w:rPr>
        <w:t>Bojęć</w:t>
      </w:r>
      <w:proofErr w:type="spellEnd"/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  </w:t>
      </w:r>
    </w:p>
    <w:p w:rsidR="00FA5A8B" w:rsidRPr="005B5313" w:rsidRDefault="008F2014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Osoby dopuszczone do licytacji publicznej :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5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Osoby niedopuszczone do licytacji publicznej :</w:t>
      </w:r>
    </w:p>
    <w:p w:rsidR="008F2014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8F2014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115683" w:rsidRPr="005B5313" w:rsidRDefault="008F2014" w:rsidP="006571CD">
      <w:pPr>
        <w:pStyle w:val="Akapitzlist"/>
        <w:numPr>
          <w:ilvl w:val="0"/>
          <w:numId w:val="17"/>
        </w:numPr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>…………………………………….</w:t>
      </w:r>
    </w:p>
    <w:p w:rsidR="006571CD" w:rsidRPr="005B5313" w:rsidRDefault="006571CD" w:rsidP="006571CD">
      <w:pPr>
        <w:pStyle w:val="Akapitzlist"/>
        <w:spacing w:after="120" w:line="240" w:lineRule="auto"/>
        <w:ind w:left="714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8F2014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Przewodniczący Komisji licytacyjnej odczytał cenę wywoławczą licytacji pojazdu w wysokości 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1C3927" w:rsidRPr="005B5313">
        <w:rPr>
          <w:rFonts w:ascii="Liberation Serif" w:hAnsi="Liberation Serif" w:cs="Liberation Serif"/>
          <w:sz w:val="24"/>
          <w:szCs w:val="24"/>
        </w:rPr>
        <w:t>……………</w:t>
      </w:r>
      <w:r w:rsidRPr="005B5313">
        <w:rPr>
          <w:rFonts w:ascii="Liberation Serif" w:hAnsi="Liberation Serif" w:cs="Liberation Serif"/>
          <w:sz w:val="24"/>
          <w:szCs w:val="24"/>
        </w:rPr>
        <w:t>zł, licytację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 oferując najwyższą cenę wygrał : ……………………………………</w:t>
      </w:r>
      <w:r w:rsidR="001C3927" w:rsidRPr="005B5313">
        <w:rPr>
          <w:rFonts w:ascii="Liberation Serif" w:hAnsi="Liberation Serif" w:cs="Liberation Serif"/>
          <w:sz w:val="24"/>
          <w:szCs w:val="24"/>
        </w:rPr>
        <w:t xml:space="preserve">…… </w:t>
      </w:r>
      <w:r w:rsidR="003F6EEA" w:rsidRPr="005B5313">
        <w:rPr>
          <w:rFonts w:ascii="Liberation Serif" w:hAnsi="Liberation Serif" w:cs="Liberation Serif"/>
          <w:sz w:val="24"/>
          <w:szCs w:val="24"/>
        </w:rPr>
        <w:t>zm.</w:t>
      </w:r>
      <w:r w:rsidR="00FC4A4D" w:rsidRPr="005B5313">
        <w:rPr>
          <w:rFonts w:ascii="Liberation Serif" w:hAnsi="Liberation Serif" w:cs="Liberation Serif"/>
          <w:sz w:val="24"/>
          <w:szCs w:val="24"/>
        </w:rPr>
        <w:t>………………………….</w:t>
      </w:r>
      <w:r w:rsidRPr="005B5313">
        <w:rPr>
          <w:rFonts w:ascii="Liberation Serif" w:hAnsi="Liberation Serif" w:cs="Liberation Serif"/>
          <w:sz w:val="24"/>
          <w:szCs w:val="24"/>
        </w:rPr>
        <w:t>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.…………</w:t>
      </w:r>
      <w:r w:rsidRPr="005B5313">
        <w:rPr>
          <w:rFonts w:ascii="Liberation Serif" w:hAnsi="Liberation Serif" w:cs="Liberation Serif"/>
          <w:sz w:val="24"/>
          <w:szCs w:val="24"/>
        </w:rPr>
        <w:t>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l</w:t>
      </w:r>
      <w:r w:rsidRPr="005B5313">
        <w:rPr>
          <w:rFonts w:ascii="Liberation Serif" w:hAnsi="Liberation Serif" w:cs="Liberation Serif"/>
          <w:sz w:val="24"/>
          <w:szCs w:val="24"/>
        </w:rPr>
        <w:t>egitymujący się dowodem osobistym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 ………………..</w:t>
      </w:r>
      <w:r w:rsidRPr="005B5313">
        <w:rPr>
          <w:rFonts w:ascii="Liberation Serif" w:hAnsi="Liberation Serif" w:cs="Liberation Serif"/>
          <w:sz w:val="24"/>
          <w:szCs w:val="24"/>
        </w:rPr>
        <w:t>………</w:t>
      </w:r>
      <w:r w:rsidR="00FC4A4D" w:rsidRPr="005B5313">
        <w:rPr>
          <w:rFonts w:ascii="Liberation Serif" w:hAnsi="Liberation Serif" w:cs="Liberation Serif"/>
          <w:sz w:val="24"/>
          <w:szCs w:val="24"/>
        </w:rPr>
        <w:t>w</w:t>
      </w:r>
      <w:r w:rsidRPr="005B5313">
        <w:rPr>
          <w:rFonts w:ascii="Liberation Serif" w:hAnsi="Liberation Serif" w:cs="Liberation Serif"/>
          <w:sz w:val="24"/>
          <w:szCs w:val="24"/>
        </w:rPr>
        <w:t>ydanym przez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3F6EEA" w:rsidRPr="005B5313">
        <w:rPr>
          <w:rFonts w:ascii="Liberation Serif" w:hAnsi="Liberation Serif" w:cs="Liberation Serif"/>
          <w:sz w:val="24"/>
          <w:szCs w:val="24"/>
        </w:rPr>
        <w:t>.</w:t>
      </w:r>
      <w:r w:rsidR="00FC4A4D" w:rsidRPr="005B5313">
        <w:rPr>
          <w:rFonts w:ascii="Liberation Serif" w:hAnsi="Liberation Serif" w:cs="Liberation Serif"/>
          <w:sz w:val="24"/>
          <w:szCs w:val="24"/>
        </w:rPr>
        <w:t>……………………………………………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....</w:t>
      </w:r>
      <w:r w:rsidR="00B3245D" w:rsidRPr="005B5313">
        <w:rPr>
          <w:rFonts w:ascii="Liberation Serif" w:hAnsi="Liberation Serif" w:cs="Liberation Serif"/>
          <w:sz w:val="24"/>
          <w:szCs w:val="24"/>
        </w:rPr>
        <w:t>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za kwotę ……………………… zł, słownie : 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……………………...</w:t>
      </w:r>
      <w:r w:rsidR="00FC4A4D" w:rsidRPr="005B5313">
        <w:rPr>
          <w:rFonts w:ascii="Liberation Serif" w:hAnsi="Liberation Serif" w:cs="Liberation Serif"/>
          <w:sz w:val="24"/>
          <w:szCs w:val="24"/>
        </w:rPr>
        <w:t xml:space="preserve"> </w:t>
      </w:r>
      <w:r w:rsidR="00115683" w:rsidRPr="005B5313">
        <w:rPr>
          <w:rFonts w:ascii="Liberation Serif" w:hAnsi="Liberation Serif" w:cs="Liberation Serif"/>
          <w:sz w:val="24"/>
          <w:szCs w:val="24"/>
        </w:rPr>
        <w:t>Kwota ta zostaje pomniejszona o wpłacone wadium wynoszące : 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</w:t>
      </w:r>
      <w:r w:rsidR="00115683" w:rsidRPr="005B5313">
        <w:rPr>
          <w:rFonts w:ascii="Liberation Serif" w:hAnsi="Liberation Serif" w:cs="Liberation Serif"/>
          <w:sz w:val="24"/>
          <w:szCs w:val="24"/>
        </w:rPr>
        <w:t xml:space="preserve"> zł oraz o cenę wywołania , którą zapłacił po przybiciu, tj.: …………………………………………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 xml:space="preserve">...... </w:t>
      </w:r>
      <w:r w:rsidR="00115683" w:rsidRPr="005B5313">
        <w:rPr>
          <w:rFonts w:ascii="Liberation Serif" w:hAnsi="Liberation Serif" w:cs="Liberation Serif"/>
          <w:sz w:val="24"/>
          <w:szCs w:val="24"/>
        </w:rPr>
        <w:t>Kwota pozostała do zapłaty wynosi …………</w:t>
      </w:r>
      <w:r w:rsidR="003F6EEA" w:rsidRPr="005B5313">
        <w:rPr>
          <w:rFonts w:ascii="Liberation Serif" w:hAnsi="Liberation Serif" w:cs="Liberation Serif"/>
          <w:sz w:val="24"/>
          <w:szCs w:val="24"/>
        </w:rPr>
        <w:t>.....</w:t>
      </w:r>
      <w:r w:rsidR="00115683" w:rsidRPr="005B5313">
        <w:rPr>
          <w:rFonts w:ascii="Liberation Serif" w:hAnsi="Liberation Serif" w:cs="Liberation Serif"/>
          <w:sz w:val="24"/>
          <w:szCs w:val="24"/>
        </w:rPr>
        <w:t xml:space="preserve"> zł, słownie ……………………………………….</w:t>
      </w:r>
    </w:p>
    <w:p w:rsidR="006571CD" w:rsidRPr="005B5313" w:rsidRDefault="006571CD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115683" w:rsidP="006571CD">
      <w:pPr>
        <w:spacing w:after="12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Podpis Nabywcy :</w:t>
      </w:r>
    </w:p>
    <w:p w:rsidR="00115683" w:rsidRPr="005B5313" w:rsidRDefault="00115683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sz w:val="24"/>
          <w:szCs w:val="24"/>
        </w:rPr>
        <w:t xml:space="preserve">                   …………………………………………………..</w:t>
      </w:r>
    </w:p>
    <w:p w:rsidR="006571CD" w:rsidRPr="005B5313" w:rsidRDefault="006571CD" w:rsidP="006571CD">
      <w:pPr>
        <w:spacing w:after="12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:rsidR="00115683" w:rsidRPr="005B5313" w:rsidRDefault="00115683" w:rsidP="006571CD">
      <w:pPr>
        <w:spacing w:after="120" w:line="240" w:lineRule="auto"/>
        <w:rPr>
          <w:rFonts w:ascii="Liberation Serif" w:hAnsi="Liberation Serif" w:cs="Liberation Serif"/>
          <w:b/>
          <w:sz w:val="24"/>
          <w:szCs w:val="24"/>
        </w:rPr>
      </w:pPr>
      <w:r w:rsidRPr="005B5313">
        <w:rPr>
          <w:rFonts w:ascii="Liberation Serif" w:hAnsi="Liberation Serif" w:cs="Liberation Serif"/>
          <w:b/>
          <w:sz w:val="24"/>
          <w:szCs w:val="24"/>
        </w:rPr>
        <w:t>Podpisy Komisji licytacyjnej:</w:t>
      </w:r>
    </w:p>
    <w:p w:rsidR="00115683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Przewodniczący  ………………………………</w:t>
      </w:r>
      <w:r w:rsidR="00560FBD" w:rsidRPr="005B5313">
        <w:rPr>
          <w:rFonts w:ascii="Liberation Serif" w:hAnsi="Liberation Serif" w:cs="Liberation Serif"/>
          <w:bCs/>
          <w:sz w:val="24"/>
          <w:szCs w:val="24"/>
        </w:rPr>
        <w:t>…..</w:t>
      </w:r>
    </w:p>
    <w:p w:rsidR="00115683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Wiceprzewodnicząca  ……………………………..</w:t>
      </w:r>
    </w:p>
    <w:p w:rsidR="006571CD" w:rsidRPr="005B5313" w:rsidRDefault="00115683" w:rsidP="006571CD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Liberation Serif" w:hAnsi="Liberation Serif" w:cs="Liberation Serif"/>
          <w:sz w:val="24"/>
          <w:szCs w:val="24"/>
        </w:rPr>
      </w:pPr>
      <w:r w:rsidRPr="005B5313">
        <w:rPr>
          <w:rFonts w:ascii="Liberation Serif" w:hAnsi="Liberation Serif" w:cs="Liberation Serif"/>
          <w:bCs/>
          <w:sz w:val="24"/>
          <w:szCs w:val="24"/>
        </w:rPr>
        <w:t>Sekretarz ……………………………………</w:t>
      </w:r>
      <w:r w:rsidR="00560FBD" w:rsidRPr="005B5313">
        <w:rPr>
          <w:rFonts w:ascii="Liberation Serif" w:hAnsi="Liberation Serif" w:cs="Liberation Serif"/>
          <w:bCs/>
          <w:sz w:val="24"/>
          <w:szCs w:val="24"/>
        </w:rPr>
        <w:t>……..</w:t>
      </w:r>
      <w:r w:rsidRPr="005B5313">
        <w:rPr>
          <w:rFonts w:ascii="Liberation Serif" w:hAnsi="Liberation Serif" w:cs="Liberation Serif"/>
          <w:bCs/>
          <w:sz w:val="24"/>
          <w:szCs w:val="24"/>
        </w:rPr>
        <w:t xml:space="preserve"> </w:t>
      </w:r>
    </w:p>
    <w:p w:rsidR="006571CD" w:rsidRPr="005B5313" w:rsidRDefault="006571CD" w:rsidP="006571CD">
      <w:pPr>
        <w:rPr>
          <w:rFonts w:ascii="Liberation Serif" w:hAnsi="Liberation Serif" w:cs="Liberation Serif"/>
          <w:sz w:val="24"/>
          <w:szCs w:val="24"/>
        </w:rPr>
      </w:pPr>
    </w:p>
    <w:p w:rsidR="006571CD" w:rsidRPr="005B5313" w:rsidRDefault="006571CD" w:rsidP="006571CD">
      <w:pPr>
        <w:tabs>
          <w:tab w:val="left" w:pos="7110"/>
        </w:tabs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5B5313">
        <w:rPr>
          <w:rFonts w:ascii="Liberation Serif" w:hAnsi="Liberation Serif" w:cs="Liberation Serif"/>
          <w:sz w:val="24"/>
          <w:szCs w:val="24"/>
        </w:rPr>
        <w:tab/>
      </w:r>
    </w:p>
    <w:p w:rsidR="006571CD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</w:t>
      </w: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</w:t>
      </w:r>
      <w:r w:rsidRPr="005B5313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>Zatwierdzam:</w:t>
      </w:r>
    </w:p>
    <w:p w:rsidR="006571CD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                  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 xml:space="preserve">       </w:t>
      </w:r>
      <w:r w:rsidRPr="005B5313">
        <w:rPr>
          <w:rFonts w:ascii="Liberation Serif" w:eastAsia="Times New Roman" w:hAnsi="Liberation Serif" w:cs="Liberation Serif"/>
          <w:sz w:val="24"/>
          <w:szCs w:val="24"/>
          <w:lang w:eastAsia="pl-PL"/>
        </w:rPr>
        <w:t>...................................................</w:t>
      </w:r>
    </w:p>
    <w:p w:rsidR="00115683" w:rsidRPr="005B5313" w:rsidRDefault="006571CD" w:rsidP="006571CD">
      <w:pPr>
        <w:tabs>
          <w:tab w:val="left" w:pos="7110"/>
        </w:tabs>
        <w:spacing w:after="0" w:line="240" w:lineRule="auto"/>
        <w:jc w:val="both"/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</w:pPr>
      <w:r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276B03"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 xml:space="preserve">    </w:t>
      </w:r>
      <w:r w:rsidRPr="005B5313">
        <w:rPr>
          <w:rFonts w:ascii="Liberation Serif" w:eastAsia="Times New Roman" w:hAnsi="Liberation Serif" w:cs="Liberation Serif"/>
          <w:i/>
          <w:sz w:val="24"/>
          <w:szCs w:val="24"/>
          <w:lang w:eastAsia="pl-PL"/>
        </w:rPr>
        <w:t>(podpis Starosty)</w:t>
      </w:r>
    </w:p>
    <w:sectPr w:rsidR="00115683" w:rsidRPr="005B5313" w:rsidSect="005B5313"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32AA3"/>
    <w:multiLevelType w:val="hybridMultilevel"/>
    <w:tmpl w:val="F81E4CD4"/>
    <w:lvl w:ilvl="0" w:tplc="0262E31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6608C7"/>
    <w:multiLevelType w:val="hybridMultilevel"/>
    <w:tmpl w:val="72E8C8C8"/>
    <w:lvl w:ilvl="0" w:tplc="BEAAF0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F6CDC"/>
    <w:multiLevelType w:val="hybridMultilevel"/>
    <w:tmpl w:val="6C124F1C"/>
    <w:lvl w:ilvl="0" w:tplc="127C639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0EFB59A2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B641B"/>
    <w:multiLevelType w:val="hybridMultilevel"/>
    <w:tmpl w:val="86A01D0E"/>
    <w:lvl w:ilvl="0" w:tplc="C3841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434C86"/>
    <w:multiLevelType w:val="hybridMultilevel"/>
    <w:tmpl w:val="D774072E"/>
    <w:lvl w:ilvl="0" w:tplc="510498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46B4F1E"/>
    <w:multiLevelType w:val="hybridMultilevel"/>
    <w:tmpl w:val="DF8C8742"/>
    <w:lvl w:ilvl="0" w:tplc="73B20C4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6736F"/>
    <w:multiLevelType w:val="hybridMultilevel"/>
    <w:tmpl w:val="F4F28526"/>
    <w:lvl w:ilvl="0" w:tplc="09A453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D3502F7"/>
    <w:multiLevelType w:val="hybridMultilevel"/>
    <w:tmpl w:val="2DB605D0"/>
    <w:lvl w:ilvl="0" w:tplc="D540AA3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378072AA"/>
    <w:multiLevelType w:val="hybridMultilevel"/>
    <w:tmpl w:val="FABA4018"/>
    <w:lvl w:ilvl="0" w:tplc="8F4CE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A3B23A7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BF7AEA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E7F35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9731F"/>
    <w:multiLevelType w:val="hybridMultilevel"/>
    <w:tmpl w:val="CDAE062C"/>
    <w:lvl w:ilvl="0" w:tplc="EC482F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55835697"/>
    <w:multiLevelType w:val="hybridMultilevel"/>
    <w:tmpl w:val="E0386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12C17"/>
    <w:multiLevelType w:val="hybridMultilevel"/>
    <w:tmpl w:val="EF9A69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24009"/>
    <w:multiLevelType w:val="hybridMultilevel"/>
    <w:tmpl w:val="412818C6"/>
    <w:lvl w:ilvl="0" w:tplc="B3F68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C310E1"/>
    <w:multiLevelType w:val="hybridMultilevel"/>
    <w:tmpl w:val="9BA47AD0"/>
    <w:lvl w:ilvl="0" w:tplc="AD0E5C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1824DA0"/>
    <w:multiLevelType w:val="hybridMultilevel"/>
    <w:tmpl w:val="3790FADE"/>
    <w:lvl w:ilvl="0" w:tplc="DCC06A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5F86CD7"/>
    <w:multiLevelType w:val="hybridMultilevel"/>
    <w:tmpl w:val="13BEE85E"/>
    <w:lvl w:ilvl="0" w:tplc="0F9423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8"/>
  </w:num>
  <w:num w:numId="5">
    <w:abstractNumId w:val="9"/>
  </w:num>
  <w:num w:numId="6">
    <w:abstractNumId w:val="19"/>
  </w:num>
  <w:num w:numId="7">
    <w:abstractNumId w:val="0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7"/>
  </w:num>
  <w:num w:numId="13">
    <w:abstractNumId w:val="8"/>
  </w:num>
  <w:num w:numId="14">
    <w:abstractNumId w:val="6"/>
  </w:num>
  <w:num w:numId="15">
    <w:abstractNumId w:val="11"/>
  </w:num>
  <w:num w:numId="16">
    <w:abstractNumId w:val="12"/>
  </w:num>
  <w:num w:numId="17">
    <w:abstractNumId w:val="14"/>
  </w:num>
  <w:num w:numId="18">
    <w:abstractNumId w:val="10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ECB"/>
    <w:rsid w:val="00010F7C"/>
    <w:rsid w:val="0001706C"/>
    <w:rsid w:val="000267A6"/>
    <w:rsid w:val="00041BD2"/>
    <w:rsid w:val="000A0211"/>
    <w:rsid w:val="000B19FE"/>
    <w:rsid w:val="000E1AAD"/>
    <w:rsid w:val="000F4560"/>
    <w:rsid w:val="001018F8"/>
    <w:rsid w:val="00115683"/>
    <w:rsid w:val="0013287A"/>
    <w:rsid w:val="00135096"/>
    <w:rsid w:val="00147FF6"/>
    <w:rsid w:val="00151DBC"/>
    <w:rsid w:val="00181F71"/>
    <w:rsid w:val="001C3927"/>
    <w:rsid w:val="001C65D0"/>
    <w:rsid w:val="001D68D2"/>
    <w:rsid w:val="00216282"/>
    <w:rsid w:val="00257936"/>
    <w:rsid w:val="00276B03"/>
    <w:rsid w:val="00281E14"/>
    <w:rsid w:val="002D3B59"/>
    <w:rsid w:val="00320422"/>
    <w:rsid w:val="00340801"/>
    <w:rsid w:val="00395819"/>
    <w:rsid w:val="003E3BDE"/>
    <w:rsid w:val="003F6EEA"/>
    <w:rsid w:val="004A15A6"/>
    <w:rsid w:val="004C0FFA"/>
    <w:rsid w:val="005063C8"/>
    <w:rsid w:val="005219EE"/>
    <w:rsid w:val="00531A1D"/>
    <w:rsid w:val="0053521C"/>
    <w:rsid w:val="00560FBD"/>
    <w:rsid w:val="0059046A"/>
    <w:rsid w:val="005B5313"/>
    <w:rsid w:val="00636C6C"/>
    <w:rsid w:val="006571CD"/>
    <w:rsid w:val="006B1E12"/>
    <w:rsid w:val="006D6ECB"/>
    <w:rsid w:val="00785993"/>
    <w:rsid w:val="007D4694"/>
    <w:rsid w:val="007D7132"/>
    <w:rsid w:val="00861BBD"/>
    <w:rsid w:val="0086735C"/>
    <w:rsid w:val="0088651F"/>
    <w:rsid w:val="008E2922"/>
    <w:rsid w:val="008F2014"/>
    <w:rsid w:val="00965DE0"/>
    <w:rsid w:val="009B079D"/>
    <w:rsid w:val="00A53AFC"/>
    <w:rsid w:val="00A73AE6"/>
    <w:rsid w:val="00B3245D"/>
    <w:rsid w:val="00B86A89"/>
    <w:rsid w:val="00B87F94"/>
    <w:rsid w:val="00B92178"/>
    <w:rsid w:val="00C53254"/>
    <w:rsid w:val="00C94966"/>
    <w:rsid w:val="00D206AC"/>
    <w:rsid w:val="00D5308F"/>
    <w:rsid w:val="00D6199B"/>
    <w:rsid w:val="00D65331"/>
    <w:rsid w:val="00DD736A"/>
    <w:rsid w:val="00E04188"/>
    <w:rsid w:val="00EB1952"/>
    <w:rsid w:val="00F930F1"/>
    <w:rsid w:val="00FA5A8B"/>
    <w:rsid w:val="00FC4A4D"/>
    <w:rsid w:val="00FC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45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4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1319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Bojęć</dc:creator>
  <cp:lastModifiedBy>Edward Bojęć</cp:lastModifiedBy>
  <cp:revision>4</cp:revision>
  <cp:lastPrinted>2016-12-05T13:10:00Z</cp:lastPrinted>
  <dcterms:created xsi:type="dcterms:W3CDTF">2016-12-30T10:05:00Z</dcterms:created>
  <dcterms:modified xsi:type="dcterms:W3CDTF">2017-01-02T11:25:00Z</dcterms:modified>
</cp:coreProperties>
</file>